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4998"/>
        <w:gridCol w:w="1456"/>
        <w:gridCol w:w="145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QHX-564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贵州重力科技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环保有限公司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2020.1.2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QHX-565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贵州拓黔水电工程咨询有限公司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QHX-566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贵州凯润生态科技有限公司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QHX-567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QHX-568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贵州名德工程咨询有限公司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QHX-569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福泉市英顺商务服务有限公司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理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事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QHX-570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贵州众益生态环境产业发展有限公司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QHX-571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贵州鑫力广汇环保设备有限公司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QHX-572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贵州碧能环保科技有限公司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QHX-573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贵州玉成美环保有限责任公司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</w:rPr>
              <w:t>QHX-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>574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贵州天保生态股份有限公司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团 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2020.4.28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QHX-575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贵州露露环境工程有限责任公司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QHX-576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贵州美泉环保工程有限公司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2020.5.21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QHX-577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贵州天宇众源环境科技有限公司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QHX-578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QHX-579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贵州星硕铭越环保科技有限公司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QHX-580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贵州精诚环保科技有限公司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QHX-581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贵州鑫吉瑞环境科技有限公司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QHX-582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贵州康瑞环保工程有限公司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20200.7.7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QHX-583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贵州省理想建筑工程有限公司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eastAsia="宋体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QHX-586</w:t>
            </w:r>
          </w:p>
        </w:tc>
        <w:tc>
          <w:tcPr>
            <w:tcW w:w="4998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贵州蔚蓝天环境科技有限公司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  <w:r>
              <w:rPr>
                <w:rFonts w:hint="eastAsia"/>
                <w:shd w:val="clear" w:color="auto" w:fill="FFFFFF"/>
                <w:lang w:eastAsia="zh-CN"/>
              </w:rPr>
              <w:t>团</w:t>
            </w:r>
            <w:r>
              <w:rPr>
                <w:rFonts w:hint="eastAsia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/>
                <w:shd w:val="clear" w:color="auto" w:fill="FFFFFF"/>
                <w:lang w:eastAsia="zh-CN"/>
              </w:rPr>
              <w:t>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QHX-587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  <w:lang w:eastAsia="zh-CN"/>
              </w:rPr>
              <w:t>云南寄傲环境科技有限公司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团 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QHX-585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贵州中科绿洲生态环保产业有限公司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团 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QHX-586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贵州清达环保科技发展有限公司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团 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QHX-587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中民生态环境有限公司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团 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QHX-588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贵州创源科技发展有限公司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团 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QHX-589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贵州水绿蓝环保科技有限公司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团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QHX-590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贵州佳芳环保产业有限公司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团 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QHX-591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贵州易隆工程技术有限公司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团 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2020.11.11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QHX-592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贵州清之新环保科技有限公司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理  事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2020.12.3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QHX-593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贵州博创环保有限责任公司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团 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2020.12.3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QHX-594</w:t>
            </w:r>
          </w:p>
        </w:tc>
        <w:tc>
          <w:tcPr>
            <w:tcW w:w="4998" w:type="dxa"/>
            <w:noWrap w:val="0"/>
            <w:vAlign w:val="center"/>
          </w:tcPr>
          <w:p>
            <w:pPr>
              <w:snapToGrid w:val="0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贵州加益环保工程有限公司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eastAsia="zh-CN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jc w:val="center"/>
              <w:rPr>
                <w:rFonts w:hint="eastAsia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团  体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jc w:val="center"/>
              <w:rPr>
                <w:rFonts w:hint="default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shd w:val="clear" w:color="auto" w:fill="FFFFFF"/>
                <w:lang w:val="en-US" w:eastAsia="zh-CN"/>
              </w:rPr>
              <w:t>2020.12.18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0408A"/>
    <w:rsid w:val="08B0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2020-12-25T03:21:00Z</dcterms:created>
  <dc:creator>颢瑾、</dc:creator>
  <cp:lastModifiedBy>颢瑾、</cp:lastModifiedBy>
  <dcterms:modified xsi:type="dcterms:W3CDTF">2020-12-25T03:21:40Z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